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d4084c112274f0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37349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VRPOLJE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3.487.083,59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2.073.579,96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888.344,53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979.626,06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2.598.739,06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1.093.953,90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22.201,92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18.027,21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659.733,58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4.119.820,70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637.531,66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4.101.793,49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3.007.839,59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izvještajnom razdoblju ostvaren je manjak prihoda poslovanja u iznosu od 3.007.839,59 EUR, koji je nastao ulaganjem u izgradnju Centra za starije osobe u Vrpolju koji se financira iz NPOO, a za koji nije odobren i uplaćen podneseni Zahtjev za nadoknadom sredstava. Manjak prihoda od nefinancijske imovine rezultat je izgradnje Centra za starije osobe u Vrpolju, ulaganja u društveni dom u Starim Perkovcima te ulaganja u dječji vrtić u Vrpolju. S obzirom na preneseni višak prihoda poslovanja iz prethodnih godina u iznosu od 1.780.266,59 EUR, ukupno manjak prihoda i primitaka na kraju izvještajnog razdoblja iznosi 1.227.573,00 EUR.</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461.409,71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484.180,23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w:t>
            </w:r>
          </w:p>
        </w:tc>
      </w:tr>
    </w:tbl>
    <w:p>
      <w:pPr>
        <w:spacing w:before="0" w:after="0"/>
      </w:pPr>
    </w:p>
    <w:p>
      <w:pPr>
        <w:jc w:val="both"/>
        <w:pStyle w:val="Normal"/>
        <w:spacing w:line="240" w:lineRule="auto"/>
      </w:pPr>
      <w:r>
        <w:rPr>
          <w:sz w:val="24"/>
          <w:rFonts w:ascii="Times New Roman" w:hAnsi="Times New Roman"/>
        </w:rPr>
        <w:t>Iskazani iznos je veći u odnosu na isto izvještajno razdoblje prethodne godine. Razlika u prihodu je odraz priljeva poreznih prihoda i izvršenog povrata poreza u izvještajnom razdoblju.</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22.475,68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pPr>
        <w:jc w:val="both"/>
        <w:pStyle w:val="Normal"/>
        <w:spacing w:line="240" w:lineRule="auto"/>
      </w:pPr>
      <w:r>
        <w:rPr>
          <w:sz w:val="24"/>
          <w:rFonts w:ascii="Times New Roman" w:hAnsi="Times New Roman"/>
        </w:rPr>
        <w:t>Iskazani iznos veći je u odnosu na isto izvještajno razdoblje prethodne godine zbog veće naplate prihoda od poreza na promet nekretnina na području Općine Vrpolje. Naplatu poreza utvrđuje i provodi Porezna uprava.</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pPr>
        <w:jc w:val="both"/>
        <w:pStyle w:val="Normal"/>
        <w:spacing w:line="240" w:lineRule="auto"/>
      </w:pPr>
      <w:r>
        <w:rPr>
          <w:sz w:val="24"/>
          <w:rFonts w:ascii="Times New Roman" w:hAnsi="Times New Roman"/>
        </w:rPr>
        <w:t>Ostvareni prihodi od poreza na promet (porez na potrošnju) veći su u odnosu na isto izvještajno razdoblje prethodne godine. Naplatu poreza na potrošnju utvrđuje i provodi Porezna uprava.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834.145,70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357.693,68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42,9</w:t>
            </w:r>
          </w:p>
        </w:tc>
      </w:tr>
    </w:tbl>
    <w:p>
      <w:pPr>
        <w:spacing w:before="0" w:after="0"/>
      </w:pPr>
    </w:p>
    <w:p>
      <w:pPr>
        <w:jc w:val="both"/>
        <w:pStyle w:val="Normal"/>
        <w:spacing w:line="240" w:lineRule="auto"/>
      </w:pPr>
      <w:r>
        <w:rPr>
          <w:sz w:val="24"/>
          <w:rFonts w:ascii="Times New Roman" w:hAnsi="Times New Roman"/>
        </w:rPr>
        <w:t>Iskazani iznos pomoći proračunu i izvanproračunskim korisnicima drugih proračuna manji je u odnosu na isto izvještajno razdoblje prethodne godine za jer se pomoći za fiskalno izravnanje više ne evidentiraju u okviru podskupine konta 633. Prihodi od pomoći evidentirani na ovoj podskupini odnose se na ostvarene tekuće pomoći od Ministarstva i Brodsko-posavske županije.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6.024,72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pPr>
        <w:jc w:val="both"/>
        <w:pStyle w:val="Normal"/>
        <w:spacing w:line="240" w:lineRule="auto"/>
      </w:pPr>
      <w:r>
        <w:rPr>
          <w:sz w:val="24"/>
          <w:rFonts w:ascii="Times New Roman" w:hAnsi="Times New Roman"/>
        </w:rPr>
        <w:t>Iskazani iznos pomoći odnosi se na prihode ostvarene od Hrvatskog zavoda za zapošljavanje za program javnog rada.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595.001,76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Prihodi od pomoći fiskalnog izravnanja odnose se na pomoći fiskalnog izravnanja i pomoći fiskalne održivosti za vrtić.</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1.931.258,26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436.758,67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w:t>
            </w:r>
          </w:p>
        </w:tc>
      </w:tr>
    </w:tbl>
    <w:p>
      <w:pPr>
        <w:spacing w:before="0" w:after="0"/>
      </w:pPr>
    </w:p>
    <w:p>
      <w:pPr>
        <w:jc w:val="both"/>
        <w:pStyle w:val="Normal"/>
        <w:spacing w:line="240" w:lineRule="auto"/>
      </w:pPr>
      <w:r>
        <w:rPr>
          <w:sz w:val="24"/>
          <w:rFonts w:ascii="Times New Roman" w:hAnsi="Times New Roman"/>
        </w:rPr>
        <w:t>Prihodi od pomoći temeljem prijenosa EU sredstava značajno su manji u odnosu na isto izvještajno razdoblje prethodne godine te se u narednom periodu očekuje obrada i odobrenje podnesenog ZNS-a za izgradnju Centra za starije osobe u Vrpolju koji se financira iz NPOO-a. Tekuće pomoći temeljem prijenosa EU sredstava odnose se na pomoći za provedbu projekta „Zaželi za Vrpolje IV“. Kapitalne pomoći temeljem prijenosa EU sredstava odnose se na pomoći primljene od Ministarstva rada, mirovinskog sustava, obitelji i socijalne politike za izgradnju Centra za starije osobe u Vrpolju te pomoći od APPRRR-a za rekonstrukciju pješačke staze u ulici L. Klaića.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70.993,72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83.759,14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pPr>
        <w:jc w:val="both"/>
        <w:pStyle w:val="Normal"/>
        <w:spacing w:line="240" w:lineRule="auto"/>
      </w:pPr>
      <w:r>
        <w:rPr>
          <w:sz w:val="24"/>
          <w:rFonts w:ascii="Times New Roman" w:hAnsi="Times New Roman"/>
        </w:rPr>
        <w:t>Ostvareni prihodi od imovine veći su u odnosu na prethodno razdoblje. Najznačajniji ostvareni prihodi unutar ove kategorije odnose se na prihode od nefinancijske imovine i to od zakupa i iznajmljivanja imovine (prihodi od zakupa poljoprivrednog zemljišta u vlasništvu države, te iznajmljivanja stambenih i poslovnih objekata) i prihode od naknada za korištenje nefinancijske imovine (naknada za pravo služnosti) i koncesijske naknade.</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146.113,19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76.540,17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w:t>
            </w:r>
          </w:p>
        </w:tc>
      </w:tr>
    </w:tbl>
    <w:p>
      <w:pPr>
        <w:spacing w:before="0" w:after="0"/>
      </w:pPr>
    </w:p>
    <w:p>
      <w:pPr>
        <w:jc w:val="both"/>
        <w:pStyle w:val="Normal"/>
        <w:spacing w:line="240" w:lineRule="auto"/>
      </w:pPr>
      <w:r>
        <w:rPr>
          <w:sz w:val="24"/>
          <w:rFonts w:ascii="Times New Roman" w:hAnsi="Times New Roman"/>
        </w:rPr>
        <w:t>Ostvareni prihodi po posebnim propisima značajno su manji u odnosu na prethodno izvještajno razdoblje, zbog smanjenja prihoda od doprinosa za šume koji je u prethodnom izvještajnom razdoblju iznosio 69.431,64 EUR, dok ostvarenje u ovom razdoblju iznosi 4.417,97 EUR.</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w:t>
            </w:r>
          </w:p>
        </w:tc>
      </w:tr>
    </w:tbl>
    <w:p>
      <w:pPr>
        <w:spacing w:before="0" w:after="0"/>
      </w:pPr>
    </w:p>
    <w:p>
      <w:pPr>
        <w:jc w:val="both"/>
        <w:pStyle w:val="Normal"/>
        <w:spacing w:line="240" w:lineRule="auto"/>
      </w:pPr>
      <w:r>
        <w:rPr>
          <w:sz w:val="24"/>
          <w:rFonts w:ascii="Times New Roman" w:hAnsi="Times New Roman"/>
        </w:rPr>
        <w:t>Iskazani iznos neznatno je veći u odnosu na isto izvještajno razdoblje prethodne godine, a odnosi se na prihod od Hrvatskih voda za naplatu naknade za uređenje voda.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w:t>
            </w:r>
          </w:p>
        </w:tc>
      </w:tr>
    </w:tbl>
    <w:p>
      <w:pPr>
        <w:spacing w:before="0" w:after="0"/>
      </w:pPr>
    </w:p>
    <w:p>
      <w:pPr>
        <w:jc w:val="both"/>
        <w:pStyle w:val="Normal"/>
        <w:spacing w:line="240" w:lineRule="auto"/>
      </w:pPr>
      <w:r>
        <w:rPr>
          <w:sz w:val="24"/>
          <w:rFonts w:ascii="Times New Roman" w:hAnsi="Times New Roman"/>
        </w:rPr>
        <w:t>Iskazani iznos prihoda značajno je manji u odnosu na prethodno izvještajno razdoblje, razlog tome je naplata ugovorne kazne u prošloj godini.</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211.525,85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322.860,50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w:t>
            </w:r>
          </w:p>
        </w:tc>
      </w:tr>
    </w:tbl>
    <w:p>
      <w:pPr>
        <w:spacing w:before="0" w:after="0"/>
      </w:pPr>
    </w:p>
    <w:p>
      <w:pPr>
        <w:jc w:val="both"/>
        <w:pStyle w:val="Normal"/>
        <w:spacing w:line="240" w:lineRule="auto"/>
      </w:pPr>
      <w:r>
        <w:rPr>
          <w:sz w:val="24"/>
          <w:rFonts w:ascii="Times New Roman" w:hAnsi="Times New Roman"/>
        </w:rPr>
        <w:t>Iskazani iznos odnosi na rashode za plaće (bruto) te je značajno veći u odnosu na isto razdoblje prethodne godine zbog povećanja plaća, a odnosi se na plaće za zaposlene, plaće za zaposlene na projektu Zaželi te plaće za javni rad.</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w:t>
            </w:r>
          </w:p>
        </w:tc>
      </w:tr>
    </w:tbl>
    <w:p>
      <w:pPr>
        <w:spacing w:before="0" w:after="0"/>
      </w:pPr>
    </w:p>
    <w:p>
      <w:pPr>
        <w:jc w:val="both"/>
        <w:pStyle w:val="Normal"/>
        <w:spacing w:line="240" w:lineRule="auto"/>
      </w:pPr>
      <w:r>
        <w:rPr>
          <w:sz w:val="24"/>
          <w:rFonts w:ascii="Times New Roman" w:hAnsi="Times New Roman"/>
        </w:rPr>
        <w:t>Iskazani iznos se odnosi na rashode koji se isplaćuju zaposlenima, a odnose se na prigodne godišnje nagrade i ostala utvrđena prava službenika iz Pravilnika.</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34.901,74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53.271,96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152,6</w:t>
            </w:r>
          </w:p>
        </w:tc>
      </w:tr>
    </w:tbl>
    <w:p>
      <w:pPr>
        <w:spacing w:before="0" w:after="0"/>
      </w:pPr>
    </w:p>
    <w:p>
      <w:pPr>
        <w:jc w:val="both"/>
        <w:pStyle w:val="Normal"/>
        <w:spacing w:line="240" w:lineRule="auto"/>
      </w:pPr>
      <w:r>
        <w:rPr>
          <w:sz w:val="24"/>
          <w:rFonts w:ascii="Times New Roman" w:hAnsi="Times New Roman"/>
        </w:rPr>
        <w:t>Iskazani iznos odnosi se na rashode za doprinose na plaću i veći je u odnosu na isto razdoblje prethodne godine zbog većih troškova zaposlenih (zaposleni, projekt Zaželi, javni rad).</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8.657,91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pPr>
        <w:jc w:val="both"/>
        <w:pStyle w:val="Normal"/>
        <w:spacing w:line="240" w:lineRule="auto"/>
      </w:pPr>
      <w:r>
        <w:rPr>
          <w:sz w:val="24"/>
          <w:rFonts w:ascii="Times New Roman" w:hAnsi="Times New Roman"/>
        </w:rPr>
        <w:t>Iskazani iznos se odnosi na rashode za službena putovanja, stručno usavršavanje zaposlenika, naknade za prijevoz na posao i s posla. Iznos je veći zbog većih troškova zaposlenih.</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73.591,13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76.578,70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w:t>
            </w:r>
          </w:p>
        </w:tc>
      </w:tr>
    </w:tbl>
    <w:p>
      <w:pPr>
        <w:spacing w:before="0" w:after="0"/>
      </w:pPr>
    </w:p>
    <w:p>
      <w:pPr>
        <w:jc w:val="both"/>
        <w:pStyle w:val="Normal"/>
        <w:spacing w:line="240" w:lineRule="auto"/>
      </w:pPr>
      <w:r>
        <w:rPr>
          <w:sz w:val="24"/>
          <w:rFonts w:ascii="Times New Roman" w:hAnsi="Times New Roman"/>
        </w:rPr>
        <w:t>Iskazani iznos neznatno je veći je u odnosu na prethodno razdoblje te se odnosi na rashode za uredski materijal i ostale materijalne rashode, rashode za energiju te materijal i dijelove za tekuće i investicijsko održavanje a unutar skupine najznačajnije povećanje je na rashodima uredskog materija i materijala za tekuće i investicijsko održavanje.</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145.253,98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156.074,17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bl>
    <w:p>
      <w:pPr>
        <w:spacing w:before="0" w:after="0"/>
      </w:pPr>
    </w:p>
    <w:p>
      <w:pPr>
        <w:jc w:val="both"/>
        <w:pStyle w:val="Normal"/>
        <w:spacing w:line="240" w:lineRule="auto"/>
      </w:pPr>
      <w:r>
        <w:rPr>
          <w:sz w:val="24"/>
          <w:rFonts w:ascii="Times New Roman" w:hAnsi="Times New Roman"/>
        </w:rPr>
        <w:t>Iskazani iznos veći je u odnosu na prethodno izvještajno razdoblje. Povećani su rashodi za usluge tekućeg i investicijskog održavanja, komunalne usluge, intelektualne i osobne usluge te rashodi za računalne usluge.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43.083,53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w:t>
            </w:r>
          </w:p>
        </w:tc>
      </w:tr>
    </w:tbl>
    <w:p>
      <w:pPr>
        <w:spacing w:before="0" w:after="0"/>
      </w:pPr>
    </w:p>
    <w:p>
      <w:pPr>
        <w:jc w:val="both"/>
        <w:pStyle w:val="Normal"/>
        <w:spacing w:line="240" w:lineRule="auto"/>
      </w:pPr>
      <w:r>
        <w:rPr>
          <w:sz w:val="24"/>
          <w:rFonts w:ascii="Times New Roman" w:hAnsi="Times New Roman"/>
        </w:rPr>
        <w:t>Povećani rashodi u odnosu na prethodno izvještajno razdoblje rezultat su zbog provedbe lokalnih izbora odnosno isplata naknada za članove povjerenstva. Povećani su rashodi za reprezentaciju zbog obilježavanja Dana Općine. Ostali nespomenuti rashodi najvećim dijelom se odnose na rashode za naknadu za uređenje voda.</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w:t>
            </w:r>
          </w:p>
        </w:tc>
      </w:tr>
    </w:tbl>
    <w:p>
      <w:pPr>
        <w:spacing w:before="0" w:after="0"/>
      </w:pPr>
    </w:p>
    <w:p>
      <w:pPr>
        <w:jc w:val="both"/>
        <w:pStyle w:val="Normal"/>
        <w:spacing w:line="240" w:lineRule="auto"/>
      </w:pPr>
      <w:r>
        <w:rPr>
          <w:sz w:val="24"/>
          <w:rFonts w:ascii="Times New Roman" w:hAnsi="Times New Roman"/>
        </w:rPr>
        <w:t>Iskazani iznos se odnosi na bankovne troškove redovnog financijskog poslovanja.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104.909,50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w:t>
            </w:r>
          </w:p>
        </w:tc>
      </w:tr>
    </w:tbl>
    <w:p>
      <w:pPr>
        <w:spacing w:before="0" w:after="0"/>
      </w:pPr>
    </w:p>
    <w:p>
      <w:pPr>
        <w:jc w:val="both"/>
        <w:pStyle w:val="Normal"/>
        <w:spacing w:line="240" w:lineRule="auto"/>
      </w:pPr>
      <w:r>
        <w:rPr>
          <w:sz w:val="24"/>
          <w:rFonts w:ascii="Times New Roman" w:hAnsi="Times New Roman"/>
        </w:rPr>
        <w:t>Iskazani iznos rashoda za subvencije odnosi se na sufinanciranje privatnog dječjeg vrtića.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162.487,10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w:t>
            </w:r>
          </w:p>
        </w:tc>
      </w:tr>
    </w:tbl>
    <w:p>
      <w:pPr>
        <w:spacing w:before="0" w:after="0"/>
      </w:pPr>
    </w:p>
    <w:p>
      <w:pPr>
        <w:jc w:val="both"/>
        <w:pStyle w:val="Normal"/>
        <w:spacing w:line="240" w:lineRule="auto"/>
      </w:pPr>
      <w:r>
        <w:rPr>
          <w:sz w:val="24"/>
          <w:rFonts w:ascii="Times New Roman" w:hAnsi="Times New Roman"/>
        </w:rPr>
        <w:t>Značajno smanjeni rashodi u odnosu na prethodno izvještajno razdoblje se odnose na isplatu naknade za elementarnu nepogodu koja je isplaćivana u istom razdoblju prethodne godine. Rashodi u ovogodišnjem izvještajnom razdoblju se odnose na naknade za novorođenčad i naknade za sufinanciranje školskog pribora za učenike.</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102.660,27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156.767,49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152,7</w:t>
            </w:r>
          </w:p>
        </w:tc>
      </w:tr>
    </w:tbl>
    <w:p>
      <w:pPr>
        <w:spacing w:before="0" w:after="0"/>
      </w:pPr>
    </w:p>
    <w:p>
      <w:pPr>
        <w:jc w:val="both"/>
        <w:pStyle w:val="Normal"/>
        <w:spacing w:line="240" w:lineRule="auto"/>
      </w:pPr>
      <w:r>
        <w:rPr>
          <w:sz w:val="24"/>
          <w:rFonts w:ascii="Times New Roman" w:hAnsi="Times New Roman"/>
        </w:rPr>
        <w:t>Značajno su povećane kapitalne donacije neprofitnim organizacijama u odnosu na prethodno razdoblje, odnosno ostvareni rashodi odnose se na donaciju lovačkoj udruzi za izgradnju i opremanje prostora, donaciju nogometnom klubu za kupnju opreme, donaciju župi, te donacije građanima i kućanstvima u provedbi demografskih mjera koje se odnose na rekonstrukciju i kupnju stambenog objekta na području Općine.</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materijalne imovine - prirodnih bogatstava (šifre 7111 do 7113)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22.030,29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17.937,77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pPr>
        <w:jc w:val="both"/>
        <w:pStyle w:val="Normal"/>
        <w:spacing w:line="240" w:lineRule="auto"/>
      </w:pPr>
      <w:r>
        <w:rPr>
          <w:sz w:val="24"/>
          <w:rFonts w:ascii="Times New Roman" w:hAnsi="Times New Roman"/>
        </w:rPr>
        <w:t>Ostvareni prihodi od prodaje materijalne imovine manji su u odnosu na isto razdoblje prethodne godine, a odnose se na prihode ostvarene od prodaje poljoprivrednog zemljišta u vlasništvu države.</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68.661,20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3.767.211,28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5486,7</w:t>
            </w:r>
          </w:p>
        </w:tc>
      </w:tr>
    </w:tbl>
    <w:p>
      <w:pPr>
        <w:spacing w:before="0" w:after="0"/>
      </w:pPr>
    </w:p>
    <w:p>
      <w:pPr>
        <w:jc w:val="both"/>
        <w:pStyle w:val="Normal"/>
        <w:spacing w:line="240" w:lineRule="auto"/>
      </w:pPr>
      <w:r>
        <w:rPr>
          <w:sz w:val="24"/>
          <w:rFonts w:ascii="Times New Roman" w:hAnsi="Times New Roman"/>
        </w:rPr>
        <w:t>Značajno veći ostvareni rashodi u izvještajnom razdoblju odnose se na izgradnju Centra za starije osobe u Vrpolju.</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7.957,70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41.637,98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523,2</w:t>
            </w:r>
          </w:p>
        </w:tc>
      </w:tr>
    </w:tbl>
    <w:p>
      <w:pPr>
        <w:spacing w:before="0" w:after="0"/>
      </w:pPr>
    </w:p>
    <w:p>
      <w:pPr>
        <w:jc w:val="both"/>
        <w:pStyle w:val="Normal"/>
        <w:spacing w:line="240" w:lineRule="auto"/>
      </w:pPr>
      <w:r>
        <w:rPr>
          <w:sz w:val="24"/>
          <w:rFonts w:ascii="Times New Roman" w:hAnsi="Times New Roman"/>
        </w:rPr>
        <w:t>Ostvareni rashod veći je u odnosu na prethodno izvještajno razdoblje zbog nabave uredske opreme i namještaja za dječji vrtić.</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w:t>
            </w:r>
          </w:p>
        </w:tc>
      </w:tr>
    </w:tbl>
    <w:p>
      <w:pPr>
        <w:spacing w:before="0" w:after="0"/>
      </w:pPr>
    </w:p>
    <w:p>
      <w:pPr>
        <w:jc w:val="both"/>
        <w:pStyle w:val="Normal"/>
        <w:spacing w:line="240" w:lineRule="auto"/>
      </w:pPr>
      <w:r>
        <w:rPr>
          <w:sz w:val="24"/>
          <w:rFonts w:ascii="Times New Roman" w:hAnsi="Times New Roman"/>
        </w:rPr>
        <w:t>Ostvareni rashod se odnosi na nabavu knjižne građe za knjižnicu u Vrpolju.</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268,2</w:t>
            </w:r>
          </w:p>
        </w:tc>
      </w:tr>
    </w:tbl>
    <w:p>
      <w:pPr>
        <w:spacing w:before="0" w:after="0"/>
      </w:pPr>
    </w:p>
    <w:p>
      <w:pPr>
        <w:jc w:val="both"/>
        <w:pStyle w:val="Normal"/>
        <w:spacing w:line="240" w:lineRule="auto"/>
      </w:pPr>
      <w:r>
        <w:rPr>
          <w:sz w:val="24"/>
          <w:rFonts w:ascii="Times New Roman" w:hAnsi="Times New Roman"/>
        </w:rPr>
        <w:t>Ostvareni rashod odnosi se na izradu prostornog plana Općine Vrpolje.</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573.089,26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293.146,63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w:t>
            </w:r>
          </w:p>
        </w:tc>
      </w:tr>
    </w:tbl>
    <w:p>
      <w:pPr>
        <w:spacing w:before="0" w:after="0"/>
      </w:pPr>
    </w:p>
    <w:p>
      <w:pPr>
        <w:jc w:val="both"/>
        <w:pStyle w:val="Normal"/>
        <w:spacing w:line="240" w:lineRule="auto"/>
      </w:pPr>
      <w:r>
        <w:rPr>
          <w:sz w:val="24"/>
          <w:rFonts w:ascii="Times New Roman" w:hAnsi="Times New Roman"/>
        </w:rPr>
        <w:t>U izvještajnom razdoblju ostvareni su značajno manji rashodi za dodatna ulaganja u odnosu na prethodno razdoblje, a odnose se na ulaganja u dječji vrtić u Vrpolju te ulaganje u društveni dom u Starim Perkovcima.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Općina Vrpolje nema dospjelih obveza, sve obveze su nedospjele te iznose 1.716.493,16 EUR, a odnose se na obveze za rashode poslovanja te najvećim dijelom za obveze za rashode za nabavu nefinancijske imovine za izgradnju Centra za starije osobe u Vrpolju koje će se podmiriti po odobrenju i uplati ZNS-a i iz kreditnog zaduženja.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70c60631591489b" /></Relationships>
</file>